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Customer Journey Map</w:t>
      </w:r>
    </w:p>
    <w:p>
      <w:pPr>
        <w:spacing w:after="300"/>
      </w:pPr>
      <w:r>
        <w:rPr>
          <w:color w:val="5A6B7B"/>
          <w:sz w:val="20"/>
          <w:szCs w:val="20"/>
        </w:rPr>
        <w:t xml:space="preserve">DigitalWinch SaaS &amp; Technology  |  Customer Success Manager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00"/>
        <w:gridCol w:w="3660"/>
        <w:gridCol w:w="1900"/>
        <w:gridCol w:w="1500"/>
      </w:tblGrid>
      <w:tr>
        <w:trPr>
          <w:tblHeader/>
        </w:trPr>
        <w:tc>
          <w:tcPr>
            <w:tcW w:type="dxa" w:w="23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1B3A5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Stage</w:t>
            </w:r>
          </w:p>
        </w:tc>
        <w:tc>
          <w:tcPr>
            <w:tcW w:type="dxa" w:w="36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1B3A5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Key Activities</w:t>
            </w:r>
          </w:p>
        </w:tc>
        <w:tc>
          <w:tcPr>
            <w:tcW w:type="dxa" w:w="19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1B3A5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Success Measure</w:t>
            </w:r>
          </w:p>
        </w:tc>
        <w:tc>
          <w:tcPr>
            <w:tcW w:type="dxa" w:w="15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1B3A5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Owner</w:t>
            </w:r>
          </w:p>
        </w:tc>
      </w:tr>
      <w:tr>
        <w:tc>
          <w:tcPr>
            <w:tcW w:type="dxa" w:w="23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Onboarding</w:t>
            </w:r>
          </w:p>
        </w:tc>
        <w:tc>
          <w:tcPr>
            <w:tcW w:type="dxa" w:w="36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Kickoff, configuration, training</w:t>
            </w:r>
          </w:p>
        </w:tc>
        <w:tc>
          <w:tcPr>
            <w:tcW w:type="dxa" w:w="19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Time to first value</w:t>
            </w:r>
          </w:p>
        </w:tc>
        <w:tc>
          <w:tcPr>
            <w:tcW w:type="dxa" w:w="15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CSM</w:t>
            </w:r>
          </w:p>
        </w:tc>
      </w:tr>
      <w:tr>
        <w:tc>
          <w:tcPr>
            <w:tcW w:type="dxa" w:w="23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Adoption</w:t>
            </w:r>
          </w:p>
        </w:tc>
        <w:tc>
          <w:tcPr>
            <w:tcW w:type="dxa" w:w="36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Feature milestones, usage reviews</w:t>
            </w:r>
          </w:p>
        </w:tc>
        <w:tc>
          <w:tcPr>
            <w:tcW w:type="dxa" w:w="19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Weekly active users</w:t>
            </w:r>
          </w:p>
        </w:tc>
        <w:tc>
          <w:tcPr>
            <w:tcW w:type="dxa" w:w="15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CSM</w:t>
            </w:r>
          </w:p>
        </w:tc>
      </w:tr>
      <w:tr>
        <w:tc>
          <w:tcPr>
            <w:tcW w:type="dxa" w:w="23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Value Realization</w:t>
            </w:r>
          </w:p>
        </w:tc>
        <w:tc>
          <w:tcPr>
            <w:tcW w:type="dxa" w:w="36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Goal progress against success plan</w:t>
            </w:r>
          </w:p>
        </w:tc>
        <w:tc>
          <w:tcPr>
            <w:tcW w:type="dxa" w:w="19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Goal completion</w:t>
            </w:r>
          </w:p>
        </w:tc>
        <w:tc>
          <w:tcPr>
            <w:tcW w:type="dxa" w:w="15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CSM + Sponsor</w:t>
            </w:r>
          </w:p>
        </w:tc>
      </w:tr>
      <w:tr>
        <w:tc>
          <w:tcPr>
            <w:tcW w:type="dxa" w:w="23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Quarterly Business Review</w:t>
            </w:r>
          </w:p>
        </w:tc>
        <w:tc>
          <w:tcPr>
            <w:tcW w:type="dxa" w:w="36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Business outcomes and ROI</w:t>
            </w:r>
          </w:p>
        </w:tc>
        <w:tc>
          <w:tcPr>
            <w:tcW w:type="dxa" w:w="19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Health score</w:t>
            </w:r>
          </w:p>
        </w:tc>
        <w:tc>
          <w:tcPr>
            <w:tcW w:type="dxa" w:w="15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CSM + Exec</w:t>
            </w:r>
          </w:p>
        </w:tc>
      </w:tr>
      <w:tr>
        <w:tc>
          <w:tcPr>
            <w:tcW w:type="dxa" w:w="23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Renewal</w:t>
            </w:r>
          </w:p>
        </w:tc>
        <w:tc>
          <w:tcPr>
            <w:tcW w:type="dxa" w:w="36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Renewal readiness assessment</w:t>
            </w:r>
          </w:p>
        </w:tc>
        <w:tc>
          <w:tcPr>
            <w:tcW w:type="dxa" w:w="19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Renewal rate</w:t>
            </w:r>
          </w:p>
        </w:tc>
        <w:tc>
          <w:tcPr>
            <w:tcW w:type="dxa" w:w="15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CSM + Sales</w:t>
            </w:r>
          </w:p>
        </w:tc>
      </w:tr>
      <w:tr>
        <w:tc>
          <w:tcPr>
            <w:tcW w:type="dxa" w:w="23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Expansion</w:t>
            </w:r>
          </w:p>
        </w:tc>
        <w:tc>
          <w:tcPr>
            <w:tcW w:type="dxa" w:w="36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New users, units, advanced features</w:t>
            </w:r>
          </w:p>
        </w:tc>
        <w:tc>
          <w:tcPr>
            <w:tcW w:type="dxa" w:w="19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Expansion revenue</w:t>
            </w:r>
          </w:p>
        </w:tc>
        <w:tc>
          <w:tcPr>
            <w:tcW w:type="dxa" w:w="15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CSM + Sales</w:t>
            </w:r>
          </w:p>
        </w:tc>
      </w:tr>
      <w:tr>
        <w:tc>
          <w:tcPr>
            <w:tcW w:type="dxa" w:w="23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Customer Advocacy</w:t>
            </w:r>
          </w:p>
        </w:tc>
        <w:tc>
          <w:tcPr>
            <w:tcW w:type="dxa" w:w="36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References, case studies, reviews</w:t>
            </w:r>
          </w:p>
        </w:tc>
        <w:tc>
          <w:tcPr>
            <w:tcW w:type="dxa" w:w="19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NPS</w:t>
            </w:r>
          </w:p>
        </w:tc>
        <w:tc>
          <w:tcPr>
            <w:tcW w:type="dxa" w:w="15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Marketing + CSM</w:t>
            </w:r>
          </w:p>
        </w:tc>
      </w:tr>
    </w:tbl>
    <w:p>
      <w:pPr>
        <w:pStyle w:val="Heading1"/>
      </w:pPr>
      <w:r>
        <w:t xml:space="preserve">Stage Flow</w:t>
      </w:r>
    </w:p>
    <w:p>
      <w:r>
        <w:rPr>
          <w:b/>
          <w:bCs/>
          <w:color w:val="1B3A5C"/>
        </w:rPr>
        <w:t xml:space="preserve">Onboarding  →  Adoption  →  Value Realization  →  Quarterly Business Review  →  Renewal  →  Expansion  →  Customer Advocacy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□"/>
      <w:lvlJc w:val="left"/>
      <w:pPr>
        <w:ind w:left="720" w:hanging="36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F2933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qFormat/>
    <w:pPr>
      <w:spacing w:after="120"/>
    </w:pPr>
    <w:rPr>
      <w:rFonts w:ascii="Arial" w:cs="Arial" w:eastAsia="Arial" w:hAnsi="Arial"/>
      <w:b/>
      <w:bCs/>
      <w:color w:val="1B3A5C"/>
      <w:sz w:val="40"/>
      <w:szCs w:val="40"/>
    </w:rPr>
  </w:style>
  <w:style w:type="paragraph" w:styleId="Heading1">
    <w:name w:val="Heading 1"/>
    <w:basedOn w:val="Normal"/>
    <w:next w:val="Normal"/>
    <w:qFormat/>
    <w:pPr>
      <w:spacing w:after="160" w:before="320"/>
      <w:outlineLvl w:val="0"/>
    </w:pPr>
    <w:rPr>
      <w:rFonts w:ascii="Arial" w:cs="Arial" w:eastAsia="Arial" w:hAnsi="Arial"/>
      <w:b/>
      <w:bCs/>
      <w:color w:val="1B3A5C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20" w:before="240"/>
      <w:outlineLvl w:val="1"/>
    </w:pPr>
    <w:rPr>
      <w:rFonts w:ascii="Arial" w:cs="Arial" w:eastAsia="Arial" w:hAnsi="Arial"/>
      <w:b/>
      <w:bCs/>
      <w:color w:val="0E7C86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2026-07-31T20:17:04.796Z</dcterms:created>
  <dcterms:modified xsi:type="dcterms:W3CDTF">2026-07-31T20:17:04.796Z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